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6FAB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center"/>
        <w:rPr>
          <w:b/>
          <w:i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i/>
          <w:color w:val="000000"/>
        </w:rPr>
        <w:t>NOTAS EXPLICATIVAS</w:t>
      </w:r>
    </w:p>
    <w:p w14:paraId="6E34D7E6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  <w:r>
        <w:rPr>
          <w:i/>
          <w:color w:val="000000"/>
        </w:rPr>
        <w:t xml:space="preserve">O presente modelo procura </w:t>
      </w:r>
      <w:proofErr w:type="spellStart"/>
      <w:r>
        <w:rPr>
          <w:i/>
          <w:color w:val="000000"/>
        </w:rPr>
        <w:t>fornecer</w:t>
      </w:r>
      <w:proofErr w:type="spellEnd"/>
      <w:r>
        <w:rPr>
          <w:i/>
          <w:color w:val="000000"/>
        </w:rPr>
        <w:t xml:space="preserve"> uma base formal para a definição do objeto e condições da dispensa de </w:t>
      </w:r>
      <w:r>
        <w:rPr>
          <w:i/>
        </w:rPr>
        <w:t xml:space="preserve">licitação para aquisição de bens e insumos destinados ao enfrentamento da emergência de saúde pública de importância internacional decorrente do </w:t>
      </w:r>
      <w:proofErr w:type="spellStart"/>
      <w:r>
        <w:rPr>
          <w:i/>
        </w:rPr>
        <w:t>coronavírus</w:t>
      </w:r>
      <w:proofErr w:type="spellEnd"/>
      <w:r>
        <w:rPr>
          <w:i/>
        </w:rPr>
        <w:t xml:space="preserve"> de que trata a Lei nº 13.979, de 6 de fevereiro de 2020.</w:t>
      </w:r>
    </w:p>
    <w:p w14:paraId="7C4B7827" w14:textId="77777777" w:rsidR="00E251C9" w:rsidRDefault="00E251C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</w:p>
    <w:p w14:paraId="764D7C0E" w14:textId="77777777" w:rsidR="00E251C9" w:rsidRPr="001C5E64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b/>
          <w:bCs/>
          <w:i/>
        </w:rPr>
      </w:pPr>
      <w:r>
        <w:rPr>
          <w:i/>
        </w:rPr>
        <w:t>E</w:t>
      </w:r>
      <w:r>
        <w:rPr>
          <w:i/>
          <w:color w:val="000000"/>
        </w:rPr>
        <w:t xml:space="preserve">ste documento </w:t>
      </w:r>
      <w:r>
        <w:rPr>
          <w:i/>
        </w:rPr>
        <w:t xml:space="preserve">poderá ter </w:t>
      </w:r>
      <w:r>
        <w:rPr>
          <w:i/>
          <w:color w:val="000000"/>
        </w:rPr>
        <w:t xml:space="preserve">variação de conteúdo, conforme órgão ou entidade pública e, principalmente, o objeto </w:t>
      </w:r>
      <w:r>
        <w:rPr>
          <w:i/>
        </w:rPr>
        <w:t>da contratação</w:t>
      </w:r>
      <w:r>
        <w:rPr>
          <w:i/>
          <w:color w:val="000000"/>
        </w:rPr>
        <w:t xml:space="preserve">. Assim, </w:t>
      </w:r>
      <w:r w:rsidRPr="001C5E64">
        <w:rPr>
          <w:b/>
          <w:bCs/>
          <w:i/>
          <w:color w:val="000000"/>
        </w:rPr>
        <w:t xml:space="preserve">a Administração deve </w:t>
      </w:r>
      <w:r w:rsidRPr="001C5E64">
        <w:rPr>
          <w:b/>
          <w:bCs/>
          <w:i/>
        </w:rPr>
        <w:t>adequar a redação, sempre que necessário.</w:t>
      </w:r>
    </w:p>
    <w:p w14:paraId="159D2A16" w14:textId="77777777" w:rsidR="00E251C9" w:rsidRDefault="00E251C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</w:p>
    <w:p w14:paraId="4964515A" w14:textId="3121FDAE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000000"/>
        </w:rPr>
      </w:pPr>
      <w:r>
        <w:rPr>
          <w:i/>
          <w:color w:val="000000"/>
        </w:rPr>
        <w:t xml:space="preserve">Os itens deste modelo, destacados em vermelho itálico, devem ser preenchidos ou adotados pelo órgão ou entidade pública </w:t>
      </w:r>
      <w:r>
        <w:rPr>
          <w:i/>
        </w:rPr>
        <w:t>contratante</w:t>
      </w:r>
      <w:r>
        <w:rPr>
          <w:i/>
          <w:color w:val="000000"/>
        </w:rPr>
        <w:t>, de acordo com as peculiaridades do objeto e critérios de oportunidade e conveniência, cuidando-se para que sejam reproduzidas as mesmas definições nos demais instrumentos (</w:t>
      </w:r>
      <w:r>
        <w:rPr>
          <w:i/>
        </w:rPr>
        <w:t>Documento de Formalização da Demanda</w:t>
      </w:r>
      <w:r>
        <w:rPr>
          <w:i/>
          <w:color w:val="000000"/>
        </w:rPr>
        <w:t>, Despacho de Enca</w:t>
      </w:r>
      <w:r>
        <w:rPr>
          <w:i/>
        </w:rPr>
        <w:t>minhamento etc</w:t>
      </w:r>
      <w:r w:rsidR="00F84C9C">
        <w:rPr>
          <w:i/>
        </w:rPr>
        <w:t>.</w:t>
      </w:r>
      <w:r>
        <w:rPr>
          <w:i/>
        </w:rPr>
        <w:t>,</w:t>
      </w:r>
      <w:r>
        <w:rPr>
          <w:i/>
          <w:color w:val="000000"/>
        </w:rPr>
        <w:t xml:space="preserve"> se for o caso), para que não conflitem nem haja duplicidades de redação.</w:t>
      </w:r>
    </w:p>
    <w:p w14:paraId="2891CEDA" w14:textId="77777777" w:rsidR="00E251C9" w:rsidRDefault="00E251C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</w:p>
    <w:p w14:paraId="7CB93CE9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  <w:r>
        <w:rPr>
          <w:i/>
          <w:color w:val="000000"/>
        </w:rPr>
        <w:t xml:space="preserve">Alguns itens receberão notas explicativas destacadas para compreensão do agente ou setor responsável pela elaboração do </w:t>
      </w:r>
      <w:r>
        <w:rPr>
          <w:i/>
        </w:rPr>
        <w:t>presente documento</w:t>
      </w:r>
      <w:r>
        <w:rPr>
          <w:i/>
          <w:color w:val="000000"/>
        </w:rPr>
        <w:t>, que deverão ser devidamente suprimidas ao se finalizar o documento na versão original.</w:t>
      </w:r>
    </w:p>
    <w:p w14:paraId="6962ADEE" w14:textId="77777777" w:rsidR="00E251C9" w:rsidRDefault="00E251C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</w:p>
    <w:p w14:paraId="09B763E6" w14:textId="3607DB1E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000000"/>
        </w:rPr>
      </w:pPr>
      <w:r>
        <w:rPr>
          <w:i/>
          <w:color w:val="000000"/>
        </w:rPr>
        <w:t>Quaisquer sugestões de alteração poderão ser encaminhadas ao e-mail:</w:t>
      </w:r>
      <w:r>
        <w:rPr>
          <w:i/>
        </w:rPr>
        <w:t xml:space="preserve"> </w:t>
      </w:r>
      <w:r w:rsidR="00F84C9C">
        <w:rPr>
          <w:i/>
        </w:rPr>
        <w:t>cgnor.seges</w:t>
      </w:r>
      <w:r>
        <w:rPr>
          <w:i/>
        </w:rPr>
        <w:t>@</w:t>
      </w:r>
      <w:r w:rsidR="00F84C9C">
        <w:rPr>
          <w:i/>
        </w:rPr>
        <w:t>planejamento</w:t>
      </w:r>
      <w:r>
        <w:rPr>
          <w:i/>
        </w:rPr>
        <w:t>.gov.br</w:t>
      </w:r>
      <w:r>
        <w:rPr>
          <w:i/>
          <w:color w:val="000000"/>
        </w:rPr>
        <w:t xml:space="preserve">. O registro das atualizações feitas (“Nota de Atualização”) em cada versão pode ser obtido </w:t>
      </w:r>
      <w:r>
        <w:rPr>
          <w:i/>
        </w:rPr>
        <w:t xml:space="preserve">no Portal de Compras do Governo Federal: </w:t>
      </w:r>
      <w:hyperlink r:id="rId8">
        <w:r>
          <w:rPr>
            <w:i/>
            <w:color w:val="1155CC"/>
            <w:u w:val="single"/>
          </w:rPr>
          <w:t>https://www.comprasgovernamentais.gov.br/</w:t>
        </w:r>
      </w:hyperlink>
      <w:r>
        <w:rPr>
          <w:i/>
          <w:color w:val="000000"/>
        </w:rPr>
        <w:t>.</w:t>
      </w:r>
    </w:p>
    <w:p w14:paraId="5B801943" w14:textId="77777777" w:rsidR="00E251C9" w:rsidRDefault="00E251C9"/>
    <w:p w14:paraId="5C560DB5" w14:textId="77777777" w:rsidR="00E251C9" w:rsidRDefault="00E251C9">
      <w:pPr>
        <w:spacing w:after="120" w:line="276" w:lineRule="auto"/>
        <w:ind w:right="-15"/>
        <w:rPr>
          <w:b/>
          <w:color w:val="000000"/>
        </w:rPr>
      </w:pPr>
    </w:p>
    <w:p w14:paraId="6C58C7F2" w14:textId="77777777" w:rsidR="00E251C9" w:rsidRDefault="0089545F">
      <w:pPr>
        <w:jc w:val="center"/>
        <w:rPr>
          <w:b/>
          <w:color w:val="000000"/>
        </w:rPr>
      </w:pPr>
      <w:r>
        <w:rPr>
          <w:b/>
          <w:color w:val="000000"/>
        </w:rPr>
        <w:t>MODELO DE TERMO DE REFERÊNCIA/PROJETO BÁSICO</w:t>
      </w:r>
    </w:p>
    <w:p w14:paraId="24FB7E09" w14:textId="77777777" w:rsidR="00E251C9" w:rsidRDefault="0089545F">
      <w:pPr>
        <w:jc w:val="center"/>
        <w:rPr>
          <w:b/>
          <w:color w:val="000000"/>
        </w:rPr>
      </w:pPr>
      <w:r>
        <w:rPr>
          <w:b/>
        </w:rPr>
        <w:t>DISPENSA DE LICITAÇÃO LEI 13.979/2020</w:t>
      </w:r>
    </w:p>
    <w:p w14:paraId="5F1EE121" w14:textId="77777777" w:rsidR="00E251C9" w:rsidRDefault="0089545F">
      <w:pPr>
        <w:jc w:val="center"/>
        <w:rPr>
          <w:b/>
          <w:color w:val="000000"/>
        </w:rPr>
      </w:pPr>
      <w:r>
        <w:rPr>
          <w:b/>
          <w:color w:val="000000"/>
        </w:rPr>
        <w:t>(COMPRAS)</w:t>
      </w:r>
    </w:p>
    <w:p w14:paraId="3EAFA23A" w14:textId="77777777" w:rsidR="00E251C9" w:rsidRDefault="00E251C9">
      <w:pPr>
        <w:spacing w:after="120" w:line="276" w:lineRule="auto"/>
        <w:ind w:right="-15"/>
        <w:jc w:val="center"/>
        <w:rPr>
          <w:b/>
          <w:i/>
          <w:color w:val="FF0000"/>
        </w:rPr>
      </w:pPr>
    </w:p>
    <w:p w14:paraId="72EF72D8" w14:textId="77777777" w:rsidR="00E251C9" w:rsidRDefault="0089545F">
      <w:pPr>
        <w:spacing w:line="276" w:lineRule="auto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ÓRGÃO OU ENTIDADE PÚBLICA </w:t>
      </w:r>
    </w:p>
    <w:p w14:paraId="6715B842" w14:textId="77777777" w:rsidR="00E251C9" w:rsidRDefault="0089545F">
      <w:pPr>
        <w:spacing w:line="276" w:lineRule="auto"/>
        <w:jc w:val="center"/>
        <w:rPr>
          <w:b/>
          <w:color w:val="000000"/>
        </w:rPr>
      </w:pPr>
      <w:r>
        <w:rPr>
          <w:b/>
        </w:rPr>
        <w:t xml:space="preserve">DISPENSA </w:t>
      </w:r>
      <w:r>
        <w:rPr>
          <w:b/>
          <w:color w:val="000000"/>
        </w:rPr>
        <w:t>Nº ....../20...</w:t>
      </w:r>
    </w:p>
    <w:p w14:paraId="474ABC7A" w14:textId="77777777" w:rsidR="00E251C9" w:rsidRDefault="0089545F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(Processo Administrativo </w:t>
      </w:r>
      <w:proofErr w:type="spellStart"/>
      <w:r>
        <w:rPr>
          <w:b/>
          <w:color w:val="000000"/>
        </w:rPr>
        <w:t>n.°</w:t>
      </w:r>
      <w:proofErr w:type="spellEnd"/>
      <w:r>
        <w:rPr>
          <w:b/>
          <w:color w:val="000000"/>
        </w:rPr>
        <w:t>...........)</w:t>
      </w:r>
    </w:p>
    <w:p w14:paraId="192D81DE" w14:textId="77777777" w:rsidR="00E251C9" w:rsidRDefault="00E251C9">
      <w:pPr>
        <w:spacing w:after="120" w:line="276" w:lineRule="auto"/>
        <w:ind w:right="-15"/>
        <w:jc w:val="center"/>
        <w:rPr>
          <w:b/>
          <w:color w:val="000000"/>
        </w:rPr>
      </w:pPr>
    </w:p>
    <w:p w14:paraId="01DBEA8F" w14:textId="77777777"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  <w:color w:val="000000"/>
        </w:rPr>
        <w:t>D</w:t>
      </w:r>
      <w:r>
        <w:rPr>
          <w:b/>
        </w:rPr>
        <w:t>ECLARAÇÃO D</w:t>
      </w:r>
      <w:r>
        <w:rPr>
          <w:b/>
          <w:color w:val="000000"/>
        </w:rPr>
        <w:t>O OBJETO</w:t>
      </w:r>
    </w:p>
    <w:p w14:paraId="6CC2194F" w14:textId="50F404A5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000000"/>
        </w:rPr>
      </w:pPr>
      <w:r>
        <w:rPr>
          <w:b/>
          <w:i/>
          <w:color w:val="000000"/>
        </w:rPr>
        <w:t>Nota explicativa</w:t>
      </w:r>
      <w:r>
        <w:rPr>
          <w:i/>
          <w:color w:val="000000"/>
        </w:rPr>
        <w:t xml:space="preserve">: </w:t>
      </w:r>
      <w:r w:rsidR="00F51783">
        <w:rPr>
          <w:i/>
          <w:color w:val="000000"/>
        </w:rPr>
        <w:t>Com espeque n</w:t>
      </w:r>
      <w:r>
        <w:rPr>
          <w:i/>
          <w:color w:val="000000"/>
        </w:rPr>
        <w:t>os termos do art. 49, IV da Lei Complementar n. 123, de 2006</w:t>
      </w:r>
      <w:r w:rsidR="00F51783">
        <w:rPr>
          <w:i/>
          <w:color w:val="000000"/>
        </w:rPr>
        <w:t>,</w:t>
      </w:r>
      <w:r>
        <w:rPr>
          <w:i/>
          <w:color w:val="000000"/>
        </w:rPr>
        <w:t xml:space="preserve">, </w:t>
      </w:r>
      <w:r w:rsidR="00F51783">
        <w:rPr>
          <w:i/>
          <w:color w:val="000000"/>
        </w:rPr>
        <w:t xml:space="preserve">entende-se por justificável afastar a aplicação </w:t>
      </w:r>
      <w:r w:rsidR="00F51783">
        <w:rPr>
          <w:i/>
        </w:rPr>
        <w:t>dos</w:t>
      </w:r>
      <w:r>
        <w:rPr>
          <w:i/>
        </w:rPr>
        <w:t xml:space="preserve"> benefícios previstos nos artigos 47 e 48 da referida Lei Complementar (exclusividade, exigência de subcontratação e cota reservada para ME/EPP).</w:t>
      </w:r>
      <w:r w:rsidR="00F51783">
        <w:rPr>
          <w:i/>
        </w:rPr>
        <w:t xml:space="preserve">Tal entendimento deriva de ser a presente aquisição processada mediante hipótese de dispensa em sede emergencial, guardando estrita correlação com a hipótese do art. 24, IV, da Lei nº 8.666/93. Ainda assim, haja vista a situação econômica, melhor entendimento é a de que a compra </w:t>
      </w:r>
      <w:r w:rsidR="00F51783" w:rsidRPr="001C5E64">
        <w:rPr>
          <w:b/>
          <w:bCs/>
          <w:i/>
        </w:rPr>
        <w:t>deva ser feita preferencialmente de microempresas e empresas de pequeno porte</w:t>
      </w:r>
      <w:r w:rsidR="00C43381">
        <w:rPr>
          <w:i/>
        </w:rPr>
        <w:t>, observando-se o desenvolvimento nacional sustentável, sempre que não prejudicar a efetividade da contratação.</w:t>
      </w:r>
    </w:p>
    <w:p w14:paraId="6D51CFBA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>Descrição</w:t>
      </w:r>
      <w:r>
        <w:rPr>
          <w:i/>
        </w:rPr>
        <w:t>: A descrição detalhada do objeto deve privilegiar a nomenclatura comum de mercado, facilitando a compreensão do que está sendo contratado e conferindo maior transparência, nos termos do que fixa o art. 4º, §2º da Lei 13.979/2020.</w:t>
      </w:r>
    </w:p>
    <w:p w14:paraId="769B1637" w14:textId="3C630B2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>Equipamentos usados:</w:t>
      </w:r>
      <w:r>
        <w:rPr>
          <w:i/>
        </w:rPr>
        <w:t xml:space="preserve"> Conforme fixa o art. 4º-A da Lei 13.979/2020, a aquisição de bens a que se refere o </w:t>
      </w:r>
      <w:r>
        <w:rPr>
          <w:b/>
          <w:i/>
        </w:rPr>
        <w:t>caput</w:t>
      </w:r>
      <w:r>
        <w:rPr>
          <w:i/>
        </w:rPr>
        <w:t xml:space="preserve"> do art. 4º não se restringe a equipamentos novos, desde que o fornecedor se responsabilize pelas plenas condições de uso e funcionamento do bem adquirido.</w:t>
      </w:r>
    </w:p>
    <w:p w14:paraId="36B041BA" w14:textId="77777777" w:rsidR="00E251C9" w:rsidRDefault="00E251C9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</w:p>
    <w:p w14:paraId="22D65F41" w14:textId="60678B4C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>Quantitativo:</w:t>
      </w:r>
      <w:r>
        <w:rPr>
          <w:i/>
        </w:rPr>
        <w:t xml:space="preserve"> Conforme fixa o art. 4º-B, IV da Lei 13.979/2020, incluído pela Medida Provisória 926/2020, a contratação por Dispensa de Licitação </w:t>
      </w:r>
      <w:r w:rsidRPr="001C5E64">
        <w:rPr>
          <w:b/>
          <w:bCs/>
          <w:i/>
        </w:rPr>
        <w:t>deve se restringir à parcela necessária ao atendimento da situação de emergência</w:t>
      </w:r>
      <w:r>
        <w:rPr>
          <w:i/>
        </w:rPr>
        <w:t xml:space="preserve">. Tal medida é necessária para que não haja desperdícios e para que não se esgotem os estoques disponíveis para o público em geral, causando impactos econômicos </w:t>
      </w:r>
      <w:r w:rsidR="003F098C">
        <w:rPr>
          <w:i/>
        </w:rPr>
        <w:t xml:space="preserve">e sociais </w:t>
      </w:r>
      <w:r>
        <w:rPr>
          <w:i/>
        </w:rPr>
        <w:t>indesejados por causa da escassez.</w:t>
      </w:r>
    </w:p>
    <w:p w14:paraId="1510FC8F" w14:textId="77777777" w:rsidR="00E251C9" w:rsidRDefault="00E251C9">
      <w:pPr>
        <w:spacing w:before="120" w:after="120" w:line="276" w:lineRule="auto"/>
        <w:jc w:val="both"/>
        <w:rPr>
          <w:b/>
          <w:i/>
          <w:color w:val="FF0000"/>
          <w:highlight w:val="yellow"/>
        </w:rPr>
      </w:pPr>
    </w:p>
    <w:p w14:paraId="47B5B96A" w14:textId="77777777"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i/>
          <w:color w:val="FF0000"/>
          <w:highlight w:val="yellow"/>
        </w:rPr>
      </w:pPr>
      <w:r>
        <w:rPr>
          <w:i/>
          <w:color w:val="FF0000"/>
          <w:highlight w:val="yellow"/>
        </w:rPr>
        <w:t>Aquisição de...........................................................</w:t>
      </w:r>
      <w:r>
        <w:rPr>
          <w:b/>
          <w:i/>
          <w:color w:val="FF0000"/>
          <w:highlight w:val="yellow"/>
        </w:rPr>
        <w:t>,</w:t>
      </w:r>
      <w:r>
        <w:rPr>
          <w:i/>
          <w:color w:val="FF0000"/>
          <w:highlight w:val="yellow"/>
        </w:rPr>
        <w:t xml:space="preserve"> conforme condições, quantidades e exigências estabelecidas neste instrumento:</w:t>
      </w:r>
    </w:p>
    <w:tbl>
      <w:tblPr>
        <w:tblStyle w:val="a3"/>
        <w:tblW w:w="8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89"/>
        <w:gridCol w:w="1418"/>
        <w:gridCol w:w="992"/>
        <w:gridCol w:w="1276"/>
        <w:gridCol w:w="1276"/>
      </w:tblGrid>
      <w:tr w:rsidR="00E251C9" w14:paraId="32E1F0DB" w14:textId="77777777">
        <w:tc>
          <w:tcPr>
            <w:tcW w:w="709" w:type="dxa"/>
          </w:tcPr>
          <w:p w14:paraId="2196EB94" w14:textId="77777777" w:rsidR="00E251C9" w:rsidRDefault="0089545F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ITEM</w:t>
            </w:r>
          </w:p>
          <w:p w14:paraId="35D85EF7" w14:textId="77777777" w:rsidR="00E251C9" w:rsidRDefault="00E251C9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3289" w:type="dxa"/>
          </w:tcPr>
          <w:p w14:paraId="48BFE72C" w14:textId="77777777" w:rsidR="00E251C9" w:rsidRDefault="0089545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DESCRIÇÃO/</w:t>
            </w:r>
          </w:p>
          <w:p w14:paraId="05145ABB" w14:textId="77777777" w:rsidR="00E251C9" w:rsidRDefault="0089545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1418" w:type="dxa"/>
          </w:tcPr>
          <w:p w14:paraId="78E95FF1" w14:textId="77777777" w:rsidR="00E251C9" w:rsidRDefault="0089545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CÓDIGO CATMAT (SE APLICÁVEL)</w:t>
            </w:r>
          </w:p>
        </w:tc>
        <w:tc>
          <w:tcPr>
            <w:tcW w:w="992" w:type="dxa"/>
          </w:tcPr>
          <w:p w14:paraId="2C12A09B" w14:textId="77777777" w:rsidR="00E251C9" w:rsidRDefault="0089545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UNIDADE DE MEDIDA</w:t>
            </w:r>
          </w:p>
        </w:tc>
        <w:tc>
          <w:tcPr>
            <w:tcW w:w="1276" w:type="dxa"/>
          </w:tcPr>
          <w:p w14:paraId="61A81E1E" w14:textId="77777777" w:rsidR="00E251C9" w:rsidRDefault="0089545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276" w:type="dxa"/>
          </w:tcPr>
          <w:p w14:paraId="09984D81" w14:textId="77777777" w:rsidR="00E251C9" w:rsidRDefault="0089545F">
            <w:pPr>
              <w:widowControl w:val="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PREÇO ESTIMADO</w:t>
            </w:r>
          </w:p>
        </w:tc>
      </w:tr>
      <w:tr w:rsidR="00E251C9" w14:paraId="5DEB8775" w14:textId="77777777">
        <w:tc>
          <w:tcPr>
            <w:tcW w:w="709" w:type="dxa"/>
          </w:tcPr>
          <w:p w14:paraId="20E1D4BB" w14:textId="77777777" w:rsidR="00E251C9" w:rsidRDefault="0089545F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9" w:type="dxa"/>
          </w:tcPr>
          <w:p w14:paraId="12AAD53D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C34DB1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88528B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D39722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59B7C4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E251C9" w14:paraId="1DE66E10" w14:textId="77777777">
        <w:tc>
          <w:tcPr>
            <w:tcW w:w="709" w:type="dxa"/>
          </w:tcPr>
          <w:p w14:paraId="2FB8889E" w14:textId="77777777" w:rsidR="00E251C9" w:rsidRDefault="0089545F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9" w:type="dxa"/>
          </w:tcPr>
          <w:p w14:paraId="555DEB91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2EF2C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3E2820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635DB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9CF16C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E251C9" w14:paraId="77F7A506" w14:textId="77777777">
        <w:tc>
          <w:tcPr>
            <w:tcW w:w="709" w:type="dxa"/>
          </w:tcPr>
          <w:p w14:paraId="2C192DA3" w14:textId="77777777" w:rsidR="00E251C9" w:rsidRDefault="0089545F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9" w:type="dxa"/>
          </w:tcPr>
          <w:p w14:paraId="5CF8872D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66B5B2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0553A2B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A5488E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DD4D9F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E251C9" w14:paraId="3B6848EE" w14:textId="77777777">
        <w:tc>
          <w:tcPr>
            <w:tcW w:w="709" w:type="dxa"/>
          </w:tcPr>
          <w:p w14:paraId="7282D655" w14:textId="77777777" w:rsidR="00E251C9" w:rsidRDefault="0089545F">
            <w:pPr>
              <w:widowControl w:val="0"/>
              <w:spacing w:after="12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289" w:type="dxa"/>
          </w:tcPr>
          <w:p w14:paraId="20655E29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DA184B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E2E770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D586A3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9AD19D" w14:textId="77777777" w:rsidR="00E251C9" w:rsidRDefault="00E251C9">
            <w:pPr>
              <w:widowControl w:val="0"/>
              <w:spacing w:after="120" w:line="276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2AC2A495" w14:textId="77777777" w:rsidR="00E251C9" w:rsidRDefault="00E251C9">
      <w:pPr>
        <w:spacing w:after="120" w:line="276" w:lineRule="auto"/>
        <w:jc w:val="both"/>
        <w:rPr>
          <w:b/>
          <w:color w:val="FF0000"/>
        </w:rPr>
      </w:pPr>
    </w:p>
    <w:p w14:paraId="0830C4F8" w14:textId="3EAFAF82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  <w:r>
        <w:rPr>
          <w:b/>
          <w:i/>
          <w:color w:val="000000"/>
        </w:rPr>
        <w:t>Nota explicativa</w:t>
      </w:r>
      <w:r>
        <w:rPr>
          <w:i/>
          <w:color w:val="000000"/>
        </w:rPr>
        <w:t xml:space="preserve">: O art. 4º-E </w:t>
      </w:r>
      <w:r>
        <w:rPr>
          <w:i/>
        </w:rPr>
        <w:t>da Lei 13.979/2020, exige que o Termo de Referência ou Projeto Básico contenha estimativas dos preços obtidos por meio de, no mínimo, um dos seguintes parâmetros:</w:t>
      </w:r>
    </w:p>
    <w:p w14:paraId="52011397" w14:textId="77777777" w:rsidR="00E251C9" w:rsidRDefault="00E251C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</w:p>
    <w:p w14:paraId="0E597C39" w14:textId="77777777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  <w:r>
        <w:rPr>
          <w:i/>
        </w:rPr>
        <w:t>a) Portal de Compras do Governo Federal;</w:t>
      </w:r>
    </w:p>
    <w:p w14:paraId="19FF4D8F" w14:textId="77777777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  <w:r>
        <w:rPr>
          <w:i/>
        </w:rPr>
        <w:t>b) pesquisa publicada em mídia especializada;</w:t>
      </w:r>
    </w:p>
    <w:p w14:paraId="724F18EC" w14:textId="77777777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  <w:r>
        <w:rPr>
          <w:i/>
        </w:rPr>
        <w:t>c) sítios eletrônicos especializados ou de domínio amplo;</w:t>
      </w:r>
    </w:p>
    <w:p w14:paraId="5F7C1BDB" w14:textId="77777777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  <w:r>
        <w:rPr>
          <w:i/>
        </w:rPr>
        <w:t>d) contratações similares de outros entes públicos; ou</w:t>
      </w:r>
    </w:p>
    <w:p w14:paraId="37457FCB" w14:textId="77777777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  <w:r>
        <w:rPr>
          <w:i/>
        </w:rPr>
        <w:t>e) pesquisa realizada com os potenciais fornecedores;</w:t>
      </w:r>
    </w:p>
    <w:p w14:paraId="0044636B" w14:textId="77777777" w:rsidR="00E251C9" w:rsidRDefault="00E251C9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i/>
        </w:rPr>
      </w:pPr>
    </w:p>
    <w:p w14:paraId="5AA6BD16" w14:textId="77777777" w:rsidR="00E251C9" w:rsidRDefault="0089545F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  <w:between w:val="nil"/>
        </w:pBdr>
        <w:shd w:val="clear" w:color="auto" w:fill="FFFFCC"/>
        <w:jc w:val="both"/>
        <w:rPr>
          <w:b/>
        </w:rPr>
      </w:pPr>
      <w:r>
        <w:rPr>
          <w:i/>
        </w:rPr>
        <w:t xml:space="preserve">E prevê ainda que: § 2º  Excepcionalmente, mediante justificativa da autoridade competente, será dispensada a estimativa de preços de que trata o inciso VI do </w:t>
      </w:r>
      <w:r>
        <w:rPr>
          <w:b/>
          <w:i/>
        </w:rPr>
        <w:t>caput</w:t>
      </w:r>
      <w:r>
        <w:rPr>
          <w:i/>
        </w:rPr>
        <w:t xml:space="preserve">. § 3º  Os preços obtidos a partir da estimativa de que trata o inciso VI do </w:t>
      </w:r>
      <w:r>
        <w:rPr>
          <w:b/>
          <w:i/>
        </w:rPr>
        <w:t>caput</w:t>
      </w:r>
      <w:r>
        <w:rPr>
          <w:i/>
        </w:rPr>
        <w:t xml:space="preserve"> não impedem a contratação pelo Poder Público por valores superiores decorrentes de oscilações ocasionadas pela variação de preços, hipótese em que deverá haver justificativa nos autos.</w:t>
      </w:r>
    </w:p>
    <w:p w14:paraId="49B0DE31" w14:textId="77777777"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lastRenderedPageBreak/>
        <w:t>FUNDAMENTAÇÃO SIMPLIFICADA DA CONTRATAÇÃO</w:t>
      </w:r>
    </w:p>
    <w:p w14:paraId="2148E6ED" w14:textId="74ECEDFB" w:rsidR="00E251C9" w:rsidRDefault="0089545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 xml:space="preserve">A transmissão do </w:t>
      </w:r>
      <w:proofErr w:type="spellStart"/>
      <w:r>
        <w:rPr>
          <w:sz w:val="24"/>
        </w:rPr>
        <w:t>coronavírus</w:t>
      </w:r>
      <w:proofErr w:type="spellEnd"/>
      <w:r>
        <w:rPr>
          <w:sz w:val="24"/>
        </w:rPr>
        <w:t xml:space="preserve"> no Brasil já foi considerada comunitária, conforme Portaria do Ministério da Saúde n. 454/2020, com possibilidade de aumento e agravamento de casos. O enfrentamento de uma epidemia requer a contratação de materiais e insumos de prevenção de contágio, transmissão e manejo clínico dos casos diagnosticados.</w:t>
      </w:r>
    </w:p>
    <w:p w14:paraId="04CFE5DF" w14:textId="7E843E8D" w:rsidR="00E251C9" w:rsidRDefault="0089545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>A necessidade da contratação pública fundamenta</w:t>
      </w:r>
      <w:r w:rsidR="003F098C">
        <w:rPr>
          <w:sz w:val="24"/>
        </w:rPr>
        <w:t>-se</w:t>
      </w:r>
      <w:r>
        <w:rPr>
          <w:sz w:val="24"/>
        </w:rPr>
        <w:t xml:space="preserve"> em critérios técnicos tomando por base a doença e transmissão do vírus, assim como as projeções do seu comportamento, além das orientações dos órgãos oficiais de saúde, especialmente quanto </w:t>
      </w:r>
      <w:r w:rsidR="003F098C">
        <w:rPr>
          <w:sz w:val="24"/>
        </w:rPr>
        <w:t>à disponibilidade de materiais de higiene, e equipamentos hospitalares e de proteção individual,</w:t>
      </w:r>
      <w:r>
        <w:rPr>
          <w:sz w:val="24"/>
        </w:rPr>
        <w:t xml:space="preserve"> dentre outros bens e insumos que se fizerem necessários.</w:t>
      </w:r>
    </w:p>
    <w:p w14:paraId="36B25256" w14:textId="1782992C" w:rsidR="00E251C9" w:rsidRDefault="0089545F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sz w:val="24"/>
        </w:rPr>
        <w:t xml:space="preserve">Neste sentido é necessária a contratação </w:t>
      </w:r>
      <w:r w:rsidR="003F098C">
        <w:rPr>
          <w:sz w:val="24"/>
        </w:rPr>
        <w:t xml:space="preserve">pública </w:t>
      </w:r>
      <w:r>
        <w:rPr>
          <w:sz w:val="24"/>
        </w:rPr>
        <w:t>de insumos</w:t>
      </w:r>
      <w:r w:rsidR="003F098C">
        <w:rPr>
          <w:sz w:val="24"/>
        </w:rPr>
        <w:t>/equipamentos</w:t>
      </w:r>
      <w:r>
        <w:rPr>
          <w:sz w:val="24"/>
        </w:rPr>
        <w:t xml:space="preserve"> de forma emergencial para o enfrentamento da transmissão comunitária do vírus em conformidade com a </w:t>
      </w:r>
      <w:r w:rsidR="00A4482D">
        <w:rPr>
          <w:sz w:val="24"/>
        </w:rPr>
        <w:t xml:space="preserve">Lei nº </w:t>
      </w:r>
      <w:r>
        <w:rPr>
          <w:sz w:val="24"/>
        </w:rPr>
        <w:t>13.979 de 2020</w:t>
      </w:r>
      <w:r w:rsidR="003F098C">
        <w:rPr>
          <w:sz w:val="24"/>
        </w:rPr>
        <w:t>, nos termos deste termo de referência</w:t>
      </w:r>
    </w:p>
    <w:p w14:paraId="720D7B2A" w14:textId="77777777"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  <w:color w:val="000000"/>
        </w:rPr>
        <w:t>CLASSIFICAÇÃO DOS BENS COMUNS</w:t>
      </w:r>
    </w:p>
    <w:p w14:paraId="0A3AF6DE" w14:textId="77777777"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t xml:space="preserve">Os bens objeto da presente contratação são classificados como comuns, pois os padrões de desempenho e qualidade encontram-se objetivamente definidos no item 1. </w:t>
      </w:r>
      <w:r>
        <w:rPr>
          <w:b/>
        </w:rPr>
        <w:t>DECLARAÇÃO DO OBJETO</w:t>
      </w:r>
      <w:r>
        <w:t xml:space="preserve">, por meio de especificações usuais no mercado. </w:t>
      </w:r>
    </w:p>
    <w:p w14:paraId="131D58D3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  <w:color w:val="000000"/>
        </w:rPr>
        <w:t>Nota explicativa</w:t>
      </w:r>
      <w:r>
        <w:rPr>
          <w:i/>
          <w:color w:val="000000"/>
        </w:rPr>
        <w:t>: Deve a Administração definir se natureza do objeto a ser contratado é comum nos termos do parágrafo único, do art. 1°, da Lei 10.520, de 2002.</w:t>
      </w:r>
    </w:p>
    <w:p w14:paraId="67E556A4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</w:rPr>
      </w:pPr>
      <w:r>
        <w:rPr>
          <w:i/>
        </w:rPr>
        <w:t>Conforme fixa art. 4º-C da Lei 13.979/2020, incluído pela Medida Provisória 926/2020, “Para as contratações de bens, serviços e insumos necessários ao enfrentamento da emergência de que trata esta Lei, não será exigida a elaboração de estudos preliminares quando se tratar de bens e serviços comuns.”</w:t>
      </w:r>
    </w:p>
    <w:p w14:paraId="6439B010" w14:textId="77777777"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REQUISITOS DA CONTRATAÇÃO</w:t>
      </w:r>
      <w:r>
        <w:rPr>
          <w:b/>
          <w:color w:val="000000"/>
        </w:rPr>
        <w:t>.</w:t>
      </w:r>
    </w:p>
    <w:p w14:paraId="14243187" w14:textId="77777777"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t xml:space="preserve">Na hipótese de haver restrição de fornecedores, a autoridade competente, excepcionalmente e mediante justificativa, poderá </w:t>
      </w:r>
      <w:r>
        <w:rPr>
          <w:b/>
        </w:rPr>
        <w:t>dispensar a apresentação de documentação</w:t>
      </w:r>
      <w:r>
        <w:t xml:space="preserve"> relativa à regularidade fiscal e trabalhista ou, ainda, o cumprimento de um ou mais requisitos de habilitação, ressalvados a exigência de apresentação de prova de regularidade relativa à Seguridade Social e o cumprimento do disposto no inciso XXXIII do </w:t>
      </w:r>
      <w:r>
        <w:rPr>
          <w:b/>
        </w:rPr>
        <w:t xml:space="preserve">caput </w:t>
      </w:r>
      <w:r>
        <w:t>do art. 7º da Constituição, conforme modelo constante do Anexo I.</w:t>
      </w:r>
    </w:p>
    <w:p w14:paraId="4B8CC81B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000000"/>
        </w:rPr>
      </w:pPr>
      <w:r>
        <w:rPr>
          <w:b/>
          <w:i/>
          <w:color w:val="000000"/>
        </w:rPr>
        <w:t>Nota explicativa</w:t>
      </w:r>
      <w:r>
        <w:rPr>
          <w:i/>
          <w:color w:val="000000"/>
        </w:rPr>
        <w:t>: Este item deve ser adaptado de acordo com as necessidades específicas do órgão ou entidade, apresentando-se, este modelo, de forma meramente exemplificativa.</w:t>
      </w:r>
    </w:p>
    <w:p w14:paraId="72E59942" w14:textId="77777777"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b/>
          <w:color w:val="000000"/>
        </w:rPr>
      </w:pPr>
      <w:r>
        <w:rPr>
          <w:color w:val="000000"/>
        </w:rPr>
        <w:t xml:space="preserve">O prazo de entrega dos bens é de </w:t>
      </w:r>
      <w:r>
        <w:rPr>
          <w:color w:val="FF0000"/>
        </w:rPr>
        <w:t xml:space="preserve">......... </w:t>
      </w:r>
      <w:r>
        <w:rPr>
          <w:color w:val="000000"/>
        </w:rPr>
        <w:t xml:space="preserve">dias, contados do(a) </w:t>
      </w:r>
      <w:r>
        <w:rPr>
          <w:color w:val="FF0000"/>
        </w:rPr>
        <w:t>................................</w:t>
      </w:r>
      <w:r>
        <w:rPr>
          <w:color w:val="000000"/>
        </w:rPr>
        <w:t xml:space="preserve">, em remessa </w:t>
      </w:r>
      <w:r>
        <w:rPr>
          <w:i/>
          <w:color w:val="FF0000"/>
        </w:rPr>
        <w:t>única</w:t>
      </w:r>
      <w:r>
        <w:rPr>
          <w:color w:val="000000"/>
        </w:rPr>
        <w:t xml:space="preserve">, no seguinte endereço </w:t>
      </w:r>
      <w:r>
        <w:rPr>
          <w:color w:val="FF0000"/>
        </w:rPr>
        <w:t>..............................</w:t>
      </w:r>
      <w:r>
        <w:rPr>
          <w:color w:val="000000"/>
        </w:rPr>
        <w:t xml:space="preserve">. </w:t>
      </w:r>
    </w:p>
    <w:p w14:paraId="6D3576EE" w14:textId="77777777"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FF0000"/>
        </w:rPr>
      </w:pPr>
      <w:r>
        <w:rPr>
          <w:color w:val="FF0000"/>
        </w:rPr>
        <w:lastRenderedPageBreak/>
        <w:t>No caso de produtos perecíveis, o prazo de validade na data da entrega não poderá ser inferior a ...... (......) (dias ou meses ou anos), ou a (metade, um terço, dois terços, etc.) do prazo total recomendado pelo fabricante.</w:t>
      </w:r>
    </w:p>
    <w:p w14:paraId="37206F57" w14:textId="77777777" w:rsidR="00E251C9" w:rsidRDefault="0089545F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O recebimento do objeto não exclui a responsabilidade da contratada pelos prejuízos resultantes da incorreta execução do contrato.</w:t>
      </w:r>
    </w:p>
    <w:p w14:paraId="56103CF8" w14:textId="13232C6C"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>4.</w:t>
      </w:r>
      <w:r w:rsidR="001C5E64">
        <w:t>5.</w:t>
      </w:r>
      <w:r>
        <w:t xml:space="preserve"> A contratação deverá seguir os seguintes parâmetros de Responsabilidade Socioambiental: </w:t>
      </w:r>
    </w:p>
    <w:p w14:paraId="47FFD361" w14:textId="12FD9EC1"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>4.</w:t>
      </w:r>
      <w:r w:rsidR="001C5E64">
        <w:t>5</w:t>
      </w:r>
      <w:r>
        <w:t>.1 Os critérios de sustentabilidade da demanda deverão estar alinhados a diretriz do art. 3 da Lei 8666/93, Guia Nacional de Contratações Sustentáveis da Advocacia Geral da União e normativos correlatos.</w:t>
      </w:r>
    </w:p>
    <w:p w14:paraId="3C5D0F8C" w14:textId="4E8A43D8"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>4.</w:t>
      </w:r>
      <w:r w:rsidR="001C5E64">
        <w:t>5</w:t>
      </w:r>
      <w:r>
        <w:t>.2 DA SUSTENTABILIDADE AMBIENTAL: a empresa deverá apresentar material constituído e embalado com critérios socioambientais vigentes decorrentes da Lei</w:t>
      </w:r>
      <w:r w:rsidR="00A4482D">
        <w:t xml:space="preserve"> nº</w:t>
      </w:r>
      <w:r>
        <w:t xml:space="preserve"> 6</w:t>
      </w:r>
      <w:r w:rsidR="00A4482D">
        <w:t>.</w:t>
      </w:r>
      <w:r>
        <w:t xml:space="preserve">938/81 e regulamentos, com os respectivos registros e comprovações oficiais (ex. Cadastro Técnico Federal de Atividades Potencialmente Poluidoras, ANVISA, ou certificação energética), além de atentar para as exigências da Política de Resíduos Sólidos. </w:t>
      </w:r>
    </w:p>
    <w:p w14:paraId="592A497F" w14:textId="6A51CD16" w:rsidR="00E251C9" w:rsidRDefault="008954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/>
        <w:jc w:val="both"/>
      </w:pPr>
      <w:r>
        <w:t xml:space="preserve">4.6.3 DA SUSTENTABILIDADE ECONÔMICA, SOCIAL e CULTURAL: A contratação atende as diretrizes da </w:t>
      </w:r>
      <w:r w:rsidR="00A4482D">
        <w:t>Lei nº 13.979/20</w:t>
      </w:r>
      <w:r>
        <w:t xml:space="preserve">, além de atingir diretamente as necessidades sociais, haja vista ser o objeto para imediato combate a pandemia </w:t>
      </w:r>
      <w:proofErr w:type="spellStart"/>
      <w:r w:rsidR="00A4482D">
        <w:t>c</w:t>
      </w:r>
      <w:r>
        <w:t>oronavírus</w:t>
      </w:r>
      <w:proofErr w:type="spellEnd"/>
      <w:r>
        <w:t xml:space="preserve">, bem como seguir alinhada aos padrões nacionais de aquisição para enfrentamento da calamidade. </w:t>
      </w:r>
    </w:p>
    <w:p w14:paraId="46526C98" w14:textId="2B28D45E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 xml:space="preserve">Diretrizes gerais de sustentabilidade:  </w:t>
      </w:r>
      <w:r>
        <w:rPr>
          <w:i/>
        </w:rPr>
        <w:t>Orienta-se que</w:t>
      </w:r>
      <w:r w:rsidR="00A4482D">
        <w:rPr>
          <w:i/>
        </w:rPr>
        <w:t>,</w:t>
      </w:r>
      <w:r>
        <w:rPr>
          <w:i/>
        </w:rPr>
        <w:t xml:space="preserve"> na fase de planejamento</w:t>
      </w:r>
      <w:r w:rsidR="00A4482D">
        <w:rPr>
          <w:i/>
        </w:rPr>
        <w:t>,</w:t>
      </w:r>
      <w:r>
        <w:rPr>
          <w:i/>
        </w:rPr>
        <w:t xml:space="preserve"> seja realizada uma análise prévia da sustentabilidade da contratação, momento em que serão analisadas em separado as diretrizes de sustentabilidade ambiental, econômico, social e cultural do objeto. A nota técnica poderá ser confeccionada por setor específico de sustentabilidade do órgão ou setor de logística administrativa com conhecimentos socioambientais, o que trará celeridade ao processo. Caso se desconheça</w:t>
      </w:r>
      <w:r w:rsidR="00A4482D">
        <w:rPr>
          <w:i/>
        </w:rPr>
        <w:t>m</w:t>
      </w:r>
      <w:r>
        <w:rPr>
          <w:i/>
        </w:rPr>
        <w:t xml:space="preserve"> as diretrizes gerais de sustentabilidade do produto, orienta-se a consulta inicial ao Guia Nacional de Contratações Sustentáveis da Advocacia Geral da União, diligências junto aos possíveis fornecedores e contratações similares. Cumpre esclarecer que a averiguação socioambiental final dos produtos deve ocorrer em momento posterior a seleção do fornecedor, com a execução contratual do contrato e o seu consequente recebimento provisório e definitivo.</w:t>
      </w:r>
    </w:p>
    <w:p w14:paraId="631CECCA" w14:textId="5867D5A4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 xml:space="preserve">Cadastro CTF Poluidoras: </w:t>
      </w:r>
      <w:r>
        <w:rPr>
          <w:i/>
        </w:rPr>
        <w:t xml:space="preserve">Administração deverá checar se os produtos a serem adquiridos fazem parte do rol de produtos potencialmente poluidores que exigem a apresentação do Cadastro Técnico Federal de Atividades Potencialmente Poluidoras – CTF, conforme Anexo I da Instrução Normativa IBAMA n° 06, de 15/03/2013. Ex. produção de álcool etílico, metanol e similares. </w:t>
      </w:r>
    </w:p>
    <w:p w14:paraId="67B4FEF6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 xml:space="preserve">Registro em órgão oficial: </w:t>
      </w:r>
      <w:r>
        <w:rPr>
          <w:i/>
        </w:rPr>
        <w:t>A Administração deverá checar qual registro necessário para a aquisição do produto a ser adquirido. Orienta-se para a consulta com fornecedores, sítios oficiais e o Guia Nacional de Contratações Sustentáveis da Advocacia Geral da União. Ex. A empresa deverá apresentar Autorização de Funcionamento ANVISA de produtos médicos e/ou insumos farmacêuticos, nos termos da RESOLUÇÃO DE DIRETORIA COLEGIADA – RDC Nº 16/2014 e Lei 6360/76.</w:t>
      </w:r>
    </w:p>
    <w:p w14:paraId="25A60DB1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>Eficiência Energética:</w:t>
      </w:r>
      <w:r>
        <w:rPr>
          <w:i/>
        </w:rPr>
        <w:t xml:space="preserve"> Conforme Lei 10.295/2001 e regulamentos, as aquisições ou locações com consumo de energia devem apresentar classe de eficiência "A" na Etiqueta Nacional de Conservação de Energia (ENCE) vigente no período da aquisição. Todavia, caso o mercado não tenha competitividade na maior qualificação energética, a Administração deverá justificar a aceitação de produto com eficiência energética inferior. </w:t>
      </w:r>
    </w:p>
    <w:p w14:paraId="53283461" w14:textId="609F580F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i/>
        </w:rPr>
      </w:pPr>
      <w:r>
        <w:rPr>
          <w:b/>
          <w:i/>
        </w:rPr>
        <w:t xml:space="preserve">Logística Reversa: </w:t>
      </w:r>
      <w:r>
        <w:rPr>
          <w:i/>
        </w:rPr>
        <w:t xml:space="preserve">A Administração deverá verificar indicar se o produto exige a aplicação da logística reversa pela contratada, nos termos da Lei 12.305/2010 e Decreto 10.024/2020. Ex. produtos eletroeletrônicos. </w:t>
      </w:r>
    </w:p>
    <w:p w14:paraId="486E449B" w14:textId="77777777" w:rsidR="00E251C9" w:rsidRDefault="0089545F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both"/>
      </w:pPr>
      <w:r>
        <w:rPr>
          <w:b/>
        </w:rPr>
        <w:t>CRITÉRIOS DE MEDIÇÃO E PAGAMENTO</w:t>
      </w:r>
    </w:p>
    <w:p w14:paraId="494AC034" w14:textId="77777777" w:rsidR="00E251C9" w:rsidRDefault="008954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O pagamento será realizado no prazo máximo de até </w:t>
      </w:r>
      <w:r>
        <w:rPr>
          <w:color w:val="FF0000"/>
        </w:rPr>
        <w:t xml:space="preserve">...... (.....) </w:t>
      </w:r>
      <w:r>
        <w:rPr>
          <w:color w:val="000000"/>
        </w:rPr>
        <w:t>dias, contados a partir do recebimento da Nota Fiscal ou Fatura, através de ordem bancária, para crédito em banco, agência e conta corrente indicados pelo contratado.</w:t>
      </w:r>
    </w:p>
    <w:p w14:paraId="53BC792F" w14:textId="77777777" w:rsidR="00E251C9" w:rsidRDefault="008954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lastRenderedPageBreak/>
        <w:t>Os pagamentos decorrentes de despesas cujos valores não ultrapassem o limite de que trata o inciso II do art. 24 da Lei 8.666, de 1993, deverão ser efetuados no prazo de até 5 (cinco) dias úteis, contados da data da apresentação da Nota Fiscal, nos termos do art. 5º, § 3º, da Lei nº 8.666, de 1993.</w:t>
      </w:r>
    </w:p>
    <w:p w14:paraId="0081E84E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strike/>
          <w:color w:val="000000"/>
        </w:rPr>
      </w:pPr>
      <w:r>
        <w:rPr>
          <w:b/>
          <w:i/>
          <w:color w:val="000000"/>
        </w:rPr>
        <w:t>Nota Explicativa</w:t>
      </w:r>
      <w:r>
        <w:rPr>
          <w:i/>
          <w:color w:val="000000"/>
        </w:rPr>
        <w:t>: Atentar para o prazo máximo de 30 dias para pagamento, conforme disposto no artigo 40, XIV, “a”, da Lei 8.666, de 1993.</w:t>
      </w:r>
    </w:p>
    <w:p w14:paraId="12B99EDA" w14:textId="77777777" w:rsidR="00E251C9" w:rsidRDefault="0089545F">
      <w:pPr>
        <w:numPr>
          <w:ilvl w:val="1"/>
          <w:numId w:val="1"/>
        </w:numPr>
        <w:spacing w:before="120" w:after="120" w:line="276" w:lineRule="auto"/>
        <w:jc w:val="both"/>
      </w:pPr>
      <w:r>
        <w:t>Será considerada data do pagamento o dia em que constar como emitida a ordem bancária para pagamento.</w:t>
      </w:r>
    </w:p>
    <w:p w14:paraId="760FD29B" w14:textId="77777777" w:rsidR="00E251C9" w:rsidRDefault="008954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Quando do pagamento, será efetuada a retenção tributária prevista na legislação aplicável.</w:t>
      </w:r>
    </w:p>
    <w:p w14:paraId="580F7F9A" w14:textId="77777777" w:rsidR="00E251C9" w:rsidRDefault="0089545F">
      <w:pPr>
        <w:numPr>
          <w:ilvl w:val="2"/>
          <w:numId w:val="1"/>
        </w:numPr>
        <w:tabs>
          <w:tab w:val="left" w:pos="1440"/>
        </w:tabs>
        <w:spacing w:before="120" w:after="120" w:line="276" w:lineRule="auto"/>
        <w:ind w:left="1134" w:firstLine="0"/>
        <w:jc w:val="both"/>
        <w:rPr>
          <w:color w:val="000000"/>
        </w:rPr>
      </w:pPr>
      <w:r>
        <w:rPr>
          <w:color w:val="000000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659F1FC5" w14:textId="77777777" w:rsidR="00E251C9" w:rsidRDefault="0089545F">
      <w:pPr>
        <w:spacing w:before="120" w:after="120" w:line="276" w:lineRule="auto"/>
        <w:jc w:val="both"/>
        <w:rPr>
          <w:color w:val="000000"/>
        </w:rPr>
      </w:pPr>
      <w:r>
        <w:t xml:space="preserve"> </w:t>
      </w:r>
    </w:p>
    <w:p w14:paraId="2492A6D4" w14:textId="77777777" w:rsidR="00E251C9" w:rsidRDefault="008954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5" w:firstLine="0"/>
        <w:jc w:val="both"/>
        <w:rPr>
          <w:color w:val="000000"/>
        </w:rPr>
      </w:pPr>
      <w:r>
        <w:rPr>
          <w:color w:val="000000"/>
        </w:rPr>
        <w:t>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2916D9D3" w14:textId="77777777"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I x N x VP, sendo:</w:t>
      </w:r>
    </w:p>
    <w:p w14:paraId="6CAF4014" w14:textId="77777777"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EM = Encargos moratórios;</w:t>
      </w:r>
    </w:p>
    <w:p w14:paraId="1A3A2399" w14:textId="77777777"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N = Número de dias entre a data prevista para o pagamento e a do efetivo pagamento;</w:t>
      </w:r>
    </w:p>
    <w:p w14:paraId="43746073" w14:textId="77777777"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VP = Valor da parcela a ser paga.</w:t>
      </w:r>
    </w:p>
    <w:p w14:paraId="62A4FAA3" w14:textId="77777777" w:rsidR="00E251C9" w:rsidRDefault="0089545F">
      <w:pPr>
        <w:tabs>
          <w:tab w:val="left" w:pos="1701"/>
        </w:tabs>
        <w:spacing w:before="120" w:after="120" w:line="276" w:lineRule="auto"/>
        <w:ind w:left="425"/>
        <w:jc w:val="both"/>
        <w:rPr>
          <w:color w:val="000000"/>
        </w:rPr>
      </w:pPr>
      <w:r>
        <w:rPr>
          <w:color w:val="000000"/>
        </w:rPr>
        <w:t>I = Índice de compensação financeira = 0,00016438, assim apurado:</w:t>
      </w:r>
    </w:p>
    <w:tbl>
      <w:tblPr>
        <w:tblStyle w:val="a4"/>
        <w:tblW w:w="8646" w:type="dxa"/>
        <w:tblInd w:w="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49"/>
        <w:gridCol w:w="578"/>
        <w:gridCol w:w="1247"/>
        <w:gridCol w:w="4672"/>
      </w:tblGrid>
      <w:tr w:rsidR="00E251C9" w14:paraId="0F03AF07" w14:textId="77777777">
        <w:tc>
          <w:tcPr>
            <w:tcW w:w="2149" w:type="dxa"/>
            <w:vAlign w:val="center"/>
          </w:tcPr>
          <w:p w14:paraId="6E301767" w14:textId="77777777" w:rsidR="00E251C9" w:rsidRDefault="0089545F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I = (TX)</w:t>
            </w:r>
          </w:p>
        </w:tc>
        <w:tc>
          <w:tcPr>
            <w:tcW w:w="578" w:type="dxa"/>
            <w:vAlign w:val="center"/>
          </w:tcPr>
          <w:p w14:paraId="45FEC29A" w14:textId="77777777" w:rsidR="00E251C9" w:rsidRDefault="0089545F">
            <w:pPr>
              <w:tabs>
                <w:tab w:val="left" w:pos="170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 = 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14:paraId="597C7545" w14:textId="77777777" w:rsidR="00E251C9" w:rsidRDefault="0089545F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( 6 / 100 )</w:t>
            </w:r>
          </w:p>
        </w:tc>
        <w:tc>
          <w:tcPr>
            <w:tcW w:w="4672" w:type="dxa"/>
            <w:vAlign w:val="center"/>
          </w:tcPr>
          <w:p w14:paraId="16ABC46A" w14:textId="77777777" w:rsidR="00E251C9" w:rsidRDefault="0089545F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I = 0,00016438</w:t>
            </w:r>
          </w:p>
          <w:p w14:paraId="569AE302" w14:textId="77777777" w:rsidR="00E251C9" w:rsidRDefault="0089545F">
            <w:pPr>
              <w:tabs>
                <w:tab w:val="left" w:pos="1701"/>
              </w:tabs>
              <w:ind w:left="742"/>
              <w:rPr>
                <w:color w:val="000000"/>
              </w:rPr>
            </w:pPr>
            <w:r>
              <w:rPr>
                <w:color w:val="000000"/>
              </w:rPr>
              <w:t>TX = Percentual da taxa anual = 6%</w:t>
            </w:r>
          </w:p>
        </w:tc>
      </w:tr>
    </w:tbl>
    <w:p w14:paraId="1B5E5738" w14:textId="77777777" w:rsidR="00E251C9" w:rsidRDefault="0089545F">
      <w:pPr>
        <w:rPr>
          <w:color w:val="000000"/>
        </w:rPr>
      </w:pPr>
      <w:r>
        <w:t xml:space="preserve">                                                            365</w:t>
      </w:r>
    </w:p>
    <w:p w14:paraId="0D44B140" w14:textId="77777777" w:rsidR="00E251C9" w:rsidRDefault="00E251C9">
      <w:pPr>
        <w:spacing w:before="120" w:after="120" w:line="276" w:lineRule="auto"/>
        <w:ind w:left="425"/>
        <w:jc w:val="both"/>
        <w:rPr>
          <w:i/>
        </w:rPr>
      </w:pPr>
    </w:p>
    <w:p w14:paraId="1F5096AE" w14:textId="77777777" w:rsidR="00E251C9" w:rsidRDefault="0089545F">
      <w:pPr>
        <w:spacing w:after="360"/>
        <w:ind w:left="360"/>
      </w:pPr>
      <w:r>
        <w:rPr>
          <w:i/>
          <w:color w:val="FF0000"/>
        </w:rPr>
        <w:t>Município de</w:t>
      </w:r>
      <w:r>
        <w:rPr>
          <w:b/>
          <w:color w:val="FF0000"/>
        </w:rPr>
        <w:t xml:space="preserve"> ..............., .......... </w:t>
      </w:r>
      <w:r>
        <w:t>de</w:t>
      </w:r>
      <w:r>
        <w:rPr>
          <w:b/>
          <w:color w:val="FF0000"/>
        </w:rPr>
        <w:t xml:space="preserve"> ................</w:t>
      </w:r>
      <w:r>
        <w:t>de</w:t>
      </w:r>
      <w:r>
        <w:rPr>
          <w:b/>
          <w:color w:val="FF0000"/>
        </w:rPr>
        <w:t xml:space="preserve"> ............</w:t>
      </w:r>
      <w:r>
        <w:t xml:space="preserve">. </w:t>
      </w:r>
    </w:p>
    <w:p w14:paraId="71B14E0D" w14:textId="77777777" w:rsidR="00E251C9" w:rsidRDefault="00E251C9">
      <w:pPr>
        <w:spacing w:after="360"/>
        <w:ind w:left="360"/>
      </w:pPr>
    </w:p>
    <w:p w14:paraId="3A0C3572" w14:textId="77777777" w:rsidR="00E251C9" w:rsidRDefault="0089545F">
      <w:pPr>
        <w:spacing w:after="360"/>
        <w:ind w:left="360"/>
      </w:pPr>
      <w:r>
        <w:t>__________________________________</w:t>
      </w:r>
    </w:p>
    <w:p w14:paraId="016B1F79" w14:textId="77777777" w:rsidR="00E251C9" w:rsidRDefault="0089545F">
      <w:pPr>
        <w:spacing w:after="360"/>
        <w:ind w:left="360"/>
      </w:pPr>
      <w:r>
        <w:t xml:space="preserve">Identificação e assinatura do servidor (ou equipe) responsável </w:t>
      </w:r>
    </w:p>
    <w:p w14:paraId="05A31C42" w14:textId="77777777" w:rsidR="00E251C9" w:rsidRDefault="0089545F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  <w:between w:val="nil"/>
        </w:pBdr>
        <w:shd w:val="clear" w:color="auto" w:fill="FFFFCC"/>
        <w:spacing w:before="120"/>
        <w:jc w:val="both"/>
        <w:rPr>
          <w:i/>
          <w:color w:val="000000"/>
        </w:rPr>
      </w:pPr>
      <w:r>
        <w:rPr>
          <w:b/>
          <w:i/>
          <w:color w:val="000000"/>
        </w:rPr>
        <w:t>Nota explicativa</w:t>
      </w:r>
      <w:r>
        <w:rPr>
          <w:i/>
          <w:color w:val="000000"/>
        </w:rPr>
        <w:t>: O Termo de Referência deverá ser devidamente aprovado pelo ordenador de despesas ou outra autoridade competente, por meio de despacho motivado, indicando os elementos técnicos fundamentais que o apoiam, bem como quanto aos elementos contidos no orçamento estimativo e no cronograma físico-financeiro de desembolso, se for o caso.</w:t>
      </w:r>
    </w:p>
    <w:p w14:paraId="5D7FC566" w14:textId="77777777" w:rsidR="00E251C9" w:rsidRDefault="00E251C9"/>
    <w:p w14:paraId="09C4D2F3" w14:textId="77777777" w:rsidR="00E251C9" w:rsidRDefault="00E251C9"/>
    <w:p w14:paraId="5783485D" w14:textId="77777777" w:rsidR="001C5E64" w:rsidRDefault="001C5E64">
      <w:pPr>
        <w:spacing w:before="240" w:after="240"/>
        <w:jc w:val="center"/>
        <w:rPr>
          <w:b/>
        </w:rPr>
      </w:pPr>
    </w:p>
    <w:p w14:paraId="481F56BA" w14:textId="77777777" w:rsidR="001C5E64" w:rsidRDefault="001C5E64">
      <w:pPr>
        <w:spacing w:before="240" w:after="240"/>
        <w:jc w:val="center"/>
        <w:rPr>
          <w:b/>
        </w:rPr>
      </w:pPr>
    </w:p>
    <w:p w14:paraId="5EDD764A" w14:textId="627BF2D2" w:rsidR="00E251C9" w:rsidRDefault="0089545F">
      <w:pPr>
        <w:spacing w:before="240" w:after="240"/>
        <w:jc w:val="center"/>
        <w:rPr>
          <w:b/>
        </w:rPr>
      </w:pPr>
      <w:r>
        <w:rPr>
          <w:b/>
        </w:rPr>
        <w:lastRenderedPageBreak/>
        <w:t>ANEXO I</w:t>
      </w:r>
    </w:p>
    <w:p w14:paraId="710FCFB1" w14:textId="77777777" w:rsidR="00E251C9" w:rsidRDefault="0089545F">
      <w:pPr>
        <w:spacing w:before="240" w:after="240"/>
        <w:jc w:val="center"/>
      </w:pPr>
      <w:r>
        <w:t>MODELO "A": EMPREGADOR PESSOA JURÍDICA</w:t>
      </w:r>
    </w:p>
    <w:p w14:paraId="069FBF34" w14:textId="77777777" w:rsidR="00E251C9" w:rsidRDefault="0089545F">
      <w:pPr>
        <w:spacing w:before="240" w:after="240"/>
        <w:jc w:val="center"/>
        <w:rPr>
          <w:b/>
        </w:rPr>
      </w:pPr>
      <w:r>
        <w:rPr>
          <w:b/>
        </w:rPr>
        <w:t>DECLARAÇÃO</w:t>
      </w:r>
    </w:p>
    <w:p w14:paraId="3976D1C8" w14:textId="77777777" w:rsidR="00E251C9" w:rsidRDefault="0089545F">
      <w:pPr>
        <w:spacing w:before="240" w:after="240"/>
      </w:pPr>
      <w:r>
        <w:t>Ref.: (identificação da licitação)</w:t>
      </w:r>
    </w:p>
    <w:p w14:paraId="1E5ABFB9" w14:textId="77777777" w:rsidR="00E251C9" w:rsidRDefault="0089545F">
      <w:pPr>
        <w:spacing w:before="240" w:after="240"/>
        <w:jc w:val="both"/>
      </w:pPr>
      <w:r>
        <w:t xml:space="preserve">................................., inscrito no CNPJ n°..................., por intermédio de seu representante legal o(a) </w:t>
      </w:r>
      <w:proofErr w:type="spellStart"/>
      <w:r>
        <w:t>Sr</w:t>
      </w:r>
      <w:proofErr w:type="spellEnd"/>
      <w:r>
        <w:t>(a)...................................., portador(a) da Carteira de Identidade n</w:t>
      </w:r>
      <w:r>
        <w:rPr>
          <w:u w:val="single"/>
          <w:vertAlign w:val="superscript"/>
        </w:rPr>
        <w:t>o</w:t>
      </w:r>
      <w:r>
        <w:t>............................ e do CPF n</w:t>
      </w:r>
      <w:r>
        <w:rPr>
          <w:u w:val="single"/>
          <w:vertAlign w:val="superscript"/>
        </w:rPr>
        <w:t>o</w:t>
      </w:r>
      <w:r>
        <w:t xml:space="preserve"> ........................., </w:t>
      </w:r>
      <w:r>
        <w:rPr>
          <w:b/>
        </w:rPr>
        <w:t>DECLARA</w:t>
      </w:r>
      <w:r>
        <w:t xml:space="preserve">, para fins do disposto no </w:t>
      </w:r>
      <w:hyperlink r:id="rId9" w:anchor="art27v">
        <w:r>
          <w:rPr>
            <w:color w:val="1155CC"/>
            <w:u w:val="single"/>
          </w:rPr>
          <w:t>inciso V do art. 27 da Lei n</w:t>
        </w:r>
      </w:hyperlink>
      <w:hyperlink r:id="rId10" w:anchor="art27v">
        <w:r>
          <w:rPr>
            <w:color w:val="1155CC"/>
            <w:u w:val="single"/>
            <w:vertAlign w:val="superscript"/>
          </w:rPr>
          <w:t>o</w:t>
        </w:r>
      </w:hyperlink>
      <w:hyperlink r:id="rId11" w:anchor="art27v">
        <w:r>
          <w:rPr>
            <w:color w:val="1155CC"/>
            <w:u w:val="single"/>
          </w:rPr>
          <w:t xml:space="preserve"> 8.666, de 21 de junho de 1993</w:t>
        </w:r>
      </w:hyperlink>
      <w:r>
        <w:t>, acrescido pela Lei n</w:t>
      </w:r>
      <w:r>
        <w:rPr>
          <w:u w:val="single"/>
          <w:vertAlign w:val="superscript"/>
        </w:rPr>
        <w:t>o</w:t>
      </w:r>
      <w:r>
        <w:t xml:space="preserve"> 9.854, de 27 de outubro de 1999, que não emprega menor de dezoito anos em trabalho noturno, perigoso ou insalubre e não emprega menor de dezesseis anos.</w:t>
      </w:r>
    </w:p>
    <w:p w14:paraId="1A79DC6C" w14:textId="77777777" w:rsidR="00E251C9" w:rsidRDefault="0089545F">
      <w:pPr>
        <w:spacing w:before="240" w:after="240"/>
        <w:jc w:val="both"/>
      </w:pPr>
      <w:r>
        <w:t>Ressalva: emprega menor, a partir de quatorze anos, na condição de aprendiz ( ) .</w:t>
      </w:r>
    </w:p>
    <w:p w14:paraId="5009E843" w14:textId="77777777" w:rsidR="00E251C9" w:rsidRDefault="0089545F">
      <w:pPr>
        <w:spacing w:before="240" w:after="240"/>
        <w:jc w:val="center"/>
      </w:pPr>
      <w:r>
        <w:t>............................................</w:t>
      </w:r>
    </w:p>
    <w:p w14:paraId="272021B1" w14:textId="77777777" w:rsidR="00E251C9" w:rsidRDefault="0089545F">
      <w:pPr>
        <w:spacing w:before="240" w:after="240"/>
        <w:jc w:val="center"/>
      </w:pPr>
      <w:r>
        <w:t>(data)</w:t>
      </w:r>
    </w:p>
    <w:p w14:paraId="16B9447E" w14:textId="77777777" w:rsidR="00E251C9" w:rsidRDefault="0089545F">
      <w:pPr>
        <w:spacing w:before="240" w:after="240"/>
        <w:jc w:val="center"/>
      </w:pPr>
      <w:r>
        <w:t xml:space="preserve"> </w:t>
      </w:r>
    </w:p>
    <w:p w14:paraId="5C854A4C" w14:textId="77777777" w:rsidR="00E251C9" w:rsidRDefault="0089545F">
      <w:pPr>
        <w:spacing w:before="240" w:after="240"/>
        <w:jc w:val="center"/>
      </w:pPr>
      <w:r>
        <w:t>............................................................</w:t>
      </w:r>
    </w:p>
    <w:p w14:paraId="00802C1E" w14:textId="77777777" w:rsidR="00E251C9" w:rsidRDefault="0089545F">
      <w:pPr>
        <w:spacing w:before="240" w:after="240"/>
        <w:jc w:val="center"/>
      </w:pPr>
      <w:r>
        <w:t>(representante legal)</w:t>
      </w:r>
    </w:p>
    <w:sectPr w:rsidR="00E251C9">
      <w:footerReference w:type="default" r:id="rId12"/>
      <w:pgSz w:w="11906" w:h="16838"/>
      <w:pgMar w:top="1418" w:right="1134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2FB01" w14:textId="77777777" w:rsidR="000301AF" w:rsidRDefault="0089545F">
      <w:r>
        <w:separator/>
      </w:r>
    </w:p>
  </w:endnote>
  <w:endnote w:type="continuationSeparator" w:id="0">
    <w:p w14:paraId="04678832" w14:textId="77777777" w:rsidR="000301AF" w:rsidRDefault="0089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CA32C" w14:textId="77777777"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____________________________________________________________________</w:t>
    </w:r>
  </w:p>
  <w:p w14:paraId="15FCB830" w14:textId="77777777"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Termo de Referência / </w:t>
    </w:r>
    <w:r>
      <w:rPr>
        <w:sz w:val="12"/>
        <w:szCs w:val="12"/>
      </w:rPr>
      <w:t>Projeto Básico</w:t>
    </w:r>
    <w:r>
      <w:rPr>
        <w:color w:val="000000"/>
        <w:sz w:val="12"/>
        <w:szCs w:val="12"/>
      </w:rPr>
      <w:t xml:space="preserve"> - Modelo para </w:t>
    </w:r>
    <w:r>
      <w:rPr>
        <w:sz w:val="12"/>
        <w:szCs w:val="12"/>
      </w:rPr>
      <w:t xml:space="preserve">Dispensa de Licitação pela Lei 13.979/2020 </w:t>
    </w:r>
    <w:r>
      <w:rPr>
        <w:color w:val="000000"/>
        <w:sz w:val="12"/>
        <w:szCs w:val="12"/>
      </w:rPr>
      <w:t>– Compras</w:t>
    </w:r>
  </w:p>
  <w:p w14:paraId="1B32BDD1" w14:textId="77777777" w:rsidR="00E251C9" w:rsidRDefault="008954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z w:val="12"/>
        <w:szCs w:val="12"/>
      </w:rPr>
      <w:t xml:space="preserve">Atualização: </w:t>
    </w:r>
    <w:r>
      <w:rPr>
        <w:sz w:val="12"/>
        <w:szCs w:val="12"/>
      </w:rPr>
      <w:t>23/03/2020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1A98" w14:textId="77777777" w:rsidR="000301AF" w:rsidRDefault="0089545F">
      <w:r>
        <w:separator/>
      </w:r>
    </w:p>
  </w:footnote>
  <w:footnote w:type="continuationSeparator" w:id="0">
    <w:p w14:paraId="6E69AE93" w14:textId="77777777" w:rsidR="000301AF" w:rsidRDefault="0089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71D1"/>
    <w:multiLevelType w:val="multilevel"/>
    <w:tmpl w:val="7780E00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BB4C50"/>
    <w:multiLevelType w:val="multilevel"/>
    <w:tmpl w:val="98A47BB0"/>
    <w:lvl w:ilvl="0">
      <w:start w:val="1"/>
      <w:numFmt w:val="decimal"/>
      <w:pStyle w:val="Commarcadores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i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i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i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C9"/>
    <w:rsid w:val="000301AF"/>
    <w:rsid w:val="001C5E64"/>
    <w:rsid w:val="003F098C"/>
    <w:rsid w:val="0089545F"/>
    <w:rsid w:val="00A4482D"/>
    <w:rsid w:val="00C43381"/>
    <w:rsid w:val="00E251C9"/>
    <w:rsid w:val="00F51783"/>
    <w:rsid w:val="00F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C82B"/>
  <w15:docId w15:val="{16FD3957-FB48-48B9-90E9-95F1DE2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070"/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Pr>
      <w:szCs w:val="20"/>
    </w:rPr>
  </w:style>
  <w:style w:type="character" w:customStyle="1" w:styleId="TextodecomentrioChar">
    <w:name w:val="Texto de comentário Char"/>
    <w:basedOn w:val="Fontepargpadr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  <w:numId w:val="0"/>
      </w:numPr>
      <w:tabs>
        <w:tab w:val="num" w:pos="360"/>
        <w:tab w:val="num" w:pos="720"/>
      </w:tabs>
      <w:ind w:left="644" w:hanging="432"/>
    </w:pPr>
    <w:rPr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  <w:tab w:val="num" w:pos="2160"/>
      </w:tabs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  <w:tab w:val="num" w:pos="21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8666con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8666con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r+g6HSJjzYTMgQ11jAgfxk5xA==">AMUW2mV+QCKBfur/zxpBlRK3WXJbf+9cBlKEdVq9zfURaEfMykS0cJkZzsJKZ5xG7z+/Gt4rRV9pv09UbSQiXNFCwKSm3k6h1c/PzhLPALbutG0XaxbxgJrXQtpTADvHAh29Z0lDd3vF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 Fenili</cp:lastModifiedBy>
  <cp:revision>4</cp:revision>
  <dcterms:created xsi:type="dcterms:W3CDTF">2020-03-23T00:43:00Z</dcterms:created>
  <dcterms:modified xsi:type="dcterms:W3CDTF">2020-03-23T01:45:00Z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